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B47C" w14:textId="20E8EEB2" w:rsidR="00284B13" w:rsidRDefault="00726247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noProof/>
          <w:color w:val="000000"/>
          <w:kern w:val="0"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69A92500" wp14:editId="71E95EDB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400040" cy="483235"/>
            <wp:effectExtent l="0" t="0" r="0" b="0"/>
            <wp:wrapSquare wrapText="bothSides"/>
            <wp:docPr id="143983085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15E66" w14:textId="3A03C7D4" w:rsidR="008B5A30" w:rsidRPr="008B5A30" w:rsidRDefault="00E415AA" w:rsidP="00E415AA">
      <w:pPr>
        <w:tabs>
          <w:tab w:val="center" w:pos="4252"/>
          <w:tab w:val="left" w:pos="627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ab/>
      </w:r>
      <w:r w:rsidR="008B5A30"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  <w:r w:rsidR="00D6101D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– EDITAL 001/2023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ab/>
      </w:r>
    </w:p>
    <w:p w14:paraId="212F4812" w14:textId="795D2675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CRITÉRIOS </w:t>
      </w:r>
      <w:r w:rsidR="003B5B7C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</w:t>
      </w: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 AVALIAÇÃO DE MÉRITO CULTURAL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7176C870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</w:t>
      </w:r>
      <w:r w:rsidR="003B5B7C" w:rsidRPr="003B5B7C">
        <w:rPr>
          <w:rFonts w:ascii="Arial" w:hAnsi="Arial" w:cs="Arial"/>
          <w:color w:val="000000"/>
        </w:rPr>
        <w:t xml:space="preserve"> </w:t>
      </w:r>
      <w:r w:rsidR="003B5B7C" w:rsidRPr="0040237B">
        <w:rPr>
          <w:rFonts w:ascii="Arial" w:hAnsi="Arial" w:cs="Arial"/>
          <w:color w:val="000000"/>
        </w:rPr>
        <w:t>Comissão para Estudo, Acompanhamento Analise, Seleção e Execução da Lei Paulo Gustavo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D0409">
        <w:rPr>
          <w:rFonts w:ascii="Calibri" w:hAnsi="Calibri" w:cs="Calibri"/>
          <w:color w:val="000000"/>
          <w:sz w:val="27"/>
          <w:szCs w:val="27"/>
        </w:rPr>
        <w:t>atribuir</w:t>
      </w:r>
      <w:r w:rsidR="003B5B7C">
        <w:rPr>
          <w:rFonts w:ascii="Calibri" w:hAnsi="Calibri" w:cs="Calibri"/>
          <w:color w:val="000000"/>
          <w:sz w:val="27"/>
          <w:szCs w:val="27"/>
        </w:rPr>
        <w:t>á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33779F80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r w:rsidR="001960C2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conteúdo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possível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65FC5C25" w:rsidR="008B5A30" w:rsidRPr="008B5A30" w:rsidRDefault="001960C2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Relevância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cenário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7C27D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21B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Picuí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Município de</w:t>
            </w:r>
            <w:r w:rsidR="00052B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21B2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Picuí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4E81FA94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r w:rsidR="001960C2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960C2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r w:rsidR="001960C2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1652F148" w:rsidR="008B5A30" w:rsidRPr="008B5A30" w:rsidRDefault="001960C2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Também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259E8111" w:rsidR="008B5A30" w:rsidRPr="008B5A30" w:rsidRDefault="001960C2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público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mídias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27D0A1F4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r w:rsidR="001960C2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compõem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atribuições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5B1A3DAE" w:rsidR="008B5A30" w:rsidRPr="008B5A30" w:rsidRDefault="001960C2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Trajetória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comprovações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5B6FDF6B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</w:t>
            </w:r>
            <w:r w:rsidR="003B5B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o impacto social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Além da pontuação acima, o proponente pode receber bônus de pontuação, ou seja, uma pontuação extra, conforme critérios abaixo especificados: </w:t>
      </w:r>
    </w:p>
    <w:p w14:paraId="4A3ED7F6" w14:textId="55E211E1" w:rsidR="007B3FDB" w:rsidRPr="00CD0409" w:rsidRDefault="007B3FDB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3691"/>
        <w:gridCol w:w="2183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B3FDB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628FAAC2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Proponente </w:t>
            </w:r>
            <w:r w:rsidR="001960C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declarado </w:t>
            </w:r>
            <w:r w:rsidR="001960C2"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LGBTQIAP+,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1960C2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60C2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48BD8A90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sediadas em regiões de menor IDH ou coletivos/grupos pertencentes a regiões </w:t>
            </w:r>
            <w:r w:rsidR="006A363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periféricas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63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9CD2A1" w14:textId="2967458C" w:rsidR="008B5A30" w:rsidRPr="008B5A30" w:rsidRDefault="001960C2" w:rsidP="001960C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           </w:t>
      </w:r>
    </w:p>
    <w:p w14:paraId="34AF7FA1" w14:textId="5EABE801" w:rsidR="001960C2" w:rsidRPr="001960C2" w:rsidRDefault="001960C2" w:rsidP="002E36F1">
      <w:pPr>
        <w:numPr>
          <w:ilvl w:val="0"/>
          <w:numId w:val="1"/>
        </w:numPr>
        <w:spacing w:before="120" w:after="120" w:line="240" w:lineRule="auto"/>
        <w:ind w:right="120" w:hanging="21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960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 por média das notas atribuídas individualmente por cada membro.</w:t>
      </w:r>
    </w:p>
    <w:p w14:paraId="0B73C2F1" w14:textId="79E3D6AC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410F28D0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G,H respectivamente. </w:t>
      </w:r>
    </w:p>
    <w:p w14:paraId="18620DB9" w14:textId="322EED63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</w:t>
      </w:r>
      <w:r w:rsidRPr="001960C2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:</w:t>
      </w:r>
      <w:r w:rsidR="001960C2" w:rsidRPr="001960C2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I, A,B</w:t>
      </w:r>
    </w:p>
    <w:p w14:paraId="04B525FD" w14:textId="6C8A1516" w:rsidR="008B5A30" w:rsidRPr="008B5A30" w:rsidRDefault="001960C2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8B5A30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2EA3DAD0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6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052B32"/>
    <w:rsid w:val="001960C2"/>
    <w:rsid w:val="00284B13"/>
    <w:rsid w:val="002E36F1"/>
    <w:rsid w:val="003B5B7C"/>
    <w:rsid w:val="006A3630"/>
    <w:rsid w:val="00726247"/>
    <w:rsid w:val="007515D1"/>
    <w:rsid w:val="007B3FDB"/>
    <w:rsid w:val="007C27D0"/>
    <w:rsid w:val="00821B20"/>
    <w:rsid w:val="008B5A30"/>
    <w:rsid w:val="00BD5FF8"/>
    <w:rsid w:val="00BE2B83"/>
    <w:rsid w:val="00CD0409"/>
    <w:rsid w:val="00D6101D"/>
    <w:rsid w:val="00D83B30"/>
    <w:rsid w:val="00E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Setor de Licitação</cp:lastModifiedBy>
  <cp:revision>11</cp:revision>
  <dcterms:created xsi:type="dcterms:W3CDTF">2023-07-19T12:01:00Z</dcterms:created>
  <dcterms:modified xsi:type="dcterms:W3CDTF">2023-11-09T20:00:00Z</dcterms:modified>
</cp:coreProperties>
</file>